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103"/>
      </w:tblGrid>
      <w:tr w:rsidR="00923657" w:rsidRPr="001061F1" w:rsidTr="005C7D68">
        <w:trPr>
          <w:trHeight w:val="1995"/>
        </w:trPr>
        <w:tc>
          <w:tcPr>
            <w:tcW w:w="4683" w:type="dxa"/>
            <w:hideMark/>
          </w:tcPr>
          <w:p w:rsidR="00923657" w:rsidRPr="00923657" w:rsidRDefault="00923657" w:rsidP="00923657">
            <w:pPr>
              <w:pStyle w:val="Vnbnnidung0"/>
              <w:spacing w:after="0"/>
              <w:ind w:firstLine="0"/>
              <w:jc w:val="center"/>
              <w:rPr>
                <w:rFonts w:ascii="Arial" w:hAnsi="Arial" w:cs="Arial"/>
                <w:sz w:val="20"/>
                <w:szCs w:val="20"/>
              </w:rPr>
            </w:pPr>
            <w:bookmarkStart w:id="0" w:name="_GoBack"/>
            <w:r w:rsidRPr="00923657">
              <w:rPr>
                <w:rFonts w:ascii="Arial" w:hAnsi="Arial" w:cs="Arial"/>
                <w:sz w:val="20"/>
                <w:szCs w:val="20"/>
              </w:rPr>
              <w:t>TỔNG CỤC THUẾ</w:t>
            </w:r>
          </w:p>
          <w:p w:rsidR="00923657" w:rsidRDefault="00923657" w:rsidP="00923657">
            <w:pPr>
              <w:pStyle w:val="Vnbnnidung0"/>
              <w:spacing w:after="0"/>
              <w:ind w:firstLine="0"/>
              <w:jc w:val="center"/>
              <w:rPr>
                <w:rFonts w:ascii="Arial" w:hAnsi="Arial" w:cs="Arial"/>
                <w:b/>
                <w:bCs/>
                <w:sz w:val="20"/>
                <w:szCs w:val="20"/>
              </w:rPr>
            </w:pPr>
            <w:r w:rsidRPr="00923657">
              <w:rPr>
                <w:rFonts w:ascii="Arial" w:hAnsi="Arial" w:cs="Arial"/>
                <w:b/>
                <w:bCs/>
                <w:sz w:val="20"/>
                <w:szCs w:val="20"/>
              </w:rPr>
              <w:t>CỤC THUẾ TỈNH AN GIANG</w:t>
            </w:r>
          </w:p>
          <w:p w:rsidR="00923657" w:rsidRDefault="00923657" w:rsidP="00923657">
            <w:pPr>
              <w:pStyle w:val="Vnbnnidung0"/>
              <w:spacing w:after="0"/>
              <w:ind w:firstLine="0"/>
              <w:jc w:val="center"/>
              <w:rPr>
                <w:rFonts w:ascii="Arial" w:hAnsi="Arial" w:cs="Arial"/>
                <w:sz w:val="20"/>
                <w:szCs w:val="20"/>
              </w:rPr>
            </w:pPr>
            <w:r>
              <w:rPr>
                <w:rFonts w:ascii="Arial" w:hAnsi="Arial" w:cs="Arial"/>
                <w:sz w:val="20"/>
                <w:szCs w:val="20"/>
                <w:lang w:val="en-US"/>
              </w:rPr>
              <w:t>S</w:t>
            </w:r>
            <w:r w:rsidRPr="00923657">
              <w:rPr>
                <w:rFonts w:ascii="Arial" w:hAnsi="Arial" w:cs="Arial"/>
                <w:sz w:val="20"/>
                <w:szCs w:val="20"/>
              </w:rPr>
              <w:t>ố: 689 /CTAGI-TTHT</w:t>
            </w:r>
          </w:p>
          <w:p w:rsidR="00923657" w:rsidRPr="008A4315" w:rsidRDefault="00923657" w:rsidP="00923657">
            <w:pPr>
              <w:pStyle w:val="Vnbnnidung0"/>
              <w:spacing w:after="0"/>
              <w:ind w:firstLine="0"/>
              <w:jc w:val="center"/>
              <w:rPr>
                <w:rFonts w:ascii="Arial" w:hAnsi="Arial" w:cs="Arial"/>
                <w:sz w:val="20"/>
                <w:szCs w:val="20"/>
              </w:rPr>
            </w:pPr>
            <w:r w:rsidRPr="00923657">
              <w:rPr>
                <w:rFonts w:ascii="Arial" w:hAnsi="Arial" w:cs="Arial"/>
                <w:sz w:val="20"/>
                <w:szCs w:val="20"/>
              </w:rPr>
              <w:t>V/v chi phí được trừ khi xác định</w:t>
            </w:r>
            <w:r w:rsidRPr="00923657">
              <w:rPr>
                <w:rFonts w:ascii="Arial" w:hAnsi="Arial" w:cs="Arial"/>
                <w:sz w:val="20"/>
                <w:szCs w:val="20"/>
              </w:rPr>
              <w:br/>
            </w:r>
            <w:r>
              <w:rPr>
                <w:rFonts w:ascii="Arial" w:hAnsi="Arial" w:cs="Arial"/>
                <w:sz w:val="20"/>
                <w:szCs w:val="20"/>
                <w:lang w:val="en-US"/>
              </w:rPr>
              <w:t>t</w:t>
            </w:r>
            <w:r w:rsidRPr="00923657">
              <w:rPr>
                <w:rFonts w:ascii="Arial" w:hAnsi="Arial" w:cs="Arial"/>
                <w:sz w:val="20"/>
                <w:szCs w:val="20"/>
              </w:rPr>
              <w:t>hu nhập chịu thuế TNDN</w:t>
            </w:r>
          </w:p>
        </w:tc>
        <w:tc>
          <w:tcPr>
            <w:tcW w:w="5103" w:type="dxa"/>
            <w:hideMark/>
          </w:tcPr>
          <w:p w:rsidR="00923657" w:rsidRPr="00E3506F" w:rsidRDefault="00923657" w:rsidP="005C7D68">
            <w:pPr>
              <w:pStyle w:val="Vnbnnidung0"/>
              <w:ind w:left="360" w:right="440" w:firstLine="0"/>
              <w:jc w:val="center"/>
              <w:rPr>
                <w:rFonts w:ascii="Arial" w:hAnsi="Arial" w:cs="Arial"/>
                <w:b/>
                <w:bCs/>
                <w:i/>
                <w:sz w:val="20"/>
                <w:szCs w:val="20"/>
              </w:rPr>
            </w:pPr>
            <w:r w:rsidRPr="00E3506F">
              <w:rPr>
                <w:rFonts w:ascii="Arial" w:hAnsi="Arial" w:cs="Arial"/>
                <w:b/>
                <w:bCs/>
                <w:sz w:val="20"/>
                <w:szCs w:val="20"/>
              </w:rPr>
              <w:t>C</w:t>
            </w:r>
            <w:r w:rsidRPr="00E3506F">
              <w:rPr>
                <w:rFonts w:ascii="Arial" w:hAnsi="Arial" w:cs="Arial"/>
                <w:b/>
                <w:bCs/>
                <w:sz w:val="20"/>
                <w:szCs w:val="20"/>
                <w:lang w:val="en-US"/>
              </w:rPr>
              <w:t>Ộ</w:t>
            </w:r>
            <w:r w:rsidRPr="00E3506F">
              <w:rPr>
                <w:rFonts w:ascii="Arial" w:hAnsi="Arial" w:cs="Arial"/>
                <w:b/>
                <w:bCs/>
                <w:sz w:val="20"/>
                <w:szCs w:val="20"/>
              </w:rPr>
              <w:t>NG HOÀ XÃ HỘI CHỦ NGHĨA VIỆT NAM</w:t>
            </w:r>
          </w:p>
          <w:p w:rsidR="00923657" w:rsidRPr="00E3506F" w:rsidRDefault="00923657" w:rsidP="005C7D68">
            <w:pPr>
              <w:pStyle w:val="Vnbnnidung0"/>
              <w:ind w:left="360" w:right="440" w:firstLine="0"/>
              <w:jc w:val="center"/>
              <w:rPr>
                <w:rFonts w:ascii="Arial" w:hAnsi="Arial" w:cs="Arial"/>
                <w:b/>
                <w:bCs/>
                <w:i/>
                <w:sz w:val="20"/>
                <w:szCs w:val="20"/>
              </w:rPr>
            </w:pPr>
            <w:r w:rsidRPr="00E3506F">
              <w:rPr>
                <w:rFonts w:ascii="Arial" w:hAnsi="Arial" w:cs="Arial"/>
                <w:b/>
                <w:bCs/>
                <w:sz w:val="20"/>
                <w:szCs w:val="20"/>
              </w:rPr>
              <w:t>Độc lập - Tự do - Hạnh phúc</w:t>
            </w:r>
          </w:p>
          <w:p w:rsidR="00923657" w:rsidRPr="00AD44C5" w:rsidRDefault="00923657" w:rsidP="00923657">
            <w:pPr>
              <w:pStyle w:val="Vnbnnidung20"/>
              <w:tabs>
                <w:tab w:val="left" w:pos="3777"/>
              </w:tabs>
              <w:ind w:firstLine="940"/>
              <w:jc w:val="right"/>
              <w:rPr>
                <w:rFonts w:ascii="Arial" w:hAnsi="Arial" w:cs="Arial"/>
                <w:i/>
                <w:sz w:val="20"/>
                <w:szCs w:val="20"/>
              </w:rPr>
            </w:pPr>
            <w:r>
              <w:rPr>
                <w:rFonts w:ascii="Arial" w:hAnsi="Arial" w:cs="Arial"/>
                <w:i/>
                <w:sz w:val="20"/>
                <w:szCs w:val="20"/>
                <w:lang w:val="en-US"/>
              </w:rPr>
              <w:t>An Giang,</w:t>
            </w:r>
            <w:r w:rsidRPr="00AD44C5">
              <w:rPr>
                <w:rFonts w:ascii="Arial" w:hAnsi="Arial" w:cs="Arial"/>
                <w:i/>
                <w:sz w:val="20"/>
                <w:szCs w:val="20"/>
              </w:rPr>
              <w:t xml:space="preserve"> ngày </w:t>
            </w:r>
            <w:r>
              <w:rPr>
                <w:rFonts w:ascii="Arial" w:hAnsi="Arial" w:cs="Arial"/>
                <w:i/>
                <w:sz w:val="20"/>
                <w:szCs w:val="20"/>
                <w:lang w:val="en-US"/>
              </w:rPr>
              <w:t>2</w:t>
            </w:r>
            <w:r>
              <w:rPr>
                <w:rFonts w:ascii="Arial" w:hAnsi="Arial" w:cs="Arial"/>
                <w:i/>
                <w:sz w:val="20"/>
                <w:szCs w:val="20"/>
                <w:lang w:val="en-US"/>
              </w:rPr>
              <w:t>8</w:t>
            </w:r>
            <w:r w:rsidRPr="00AD44C5">
              <w:rPr>
                <w:rFonts w:ascii="Arial" w:hAnsi="Arial" w:cs="Arial"/>
                <w:i/>
                <w:sz w:val="20"/>
                <w:szCs w:val="20"/>
              </w:rPr>
              <w:t xml:space="preserve"> tháng 0</w:t>
            </w:r>
            <w:r>
              <w:rPr>
                <w:rFonts w:ascii="Arial" w:hAnsi="Arial" w:cs="Arial"/>
                <w:i/>
                <w:sz w:val="20"/>
                <w:szCs w:val="20"/>
                <w:lang w:val="en-US"/>
              </w:rPr>
              <w:t>2</w:t>
            </w:r>
            <w:r w:rsidRPr="00AD44C5">
              <w:rPr>
                <w:rFonts w:ascii="Arial" w:hAnsi="Arial" w:cs="Arial"/>
                <w:i/>
                <w:sz w:val="20"/>
                <w:szCs w:val="20"/>
              </w:rPr>
              <w:t xml:space="preserve"> năm 2025</w:t>
            </w:r>
          </w:p>
        </w:tc>
      </w:tr>
    </w:tbl>
    <w:p w:rsidR="00923657" w:rsidRDefault="00923657" w:rsidP="00923657">
      <w:pPr>
        <w:pStyle w:val="Vnbnnidung0"/>
        <w:ind w:left="220" w:firstLine="0"/>
        <w:jc w:val="both"/>
        <w:rPr>
          <w:rFonts w:ascii="Arial" w:hAnsi="Arial" w:cs="Arial"/>
          <w:i/>
          <w:iCs/>
          <w:sz w:val="20"/>
          <w:szCs w:val="20"/>
        </w:rPr>
      </w:pP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5163"/>
      </w:tblGrid>
      <w:tr w:rsidR="00923657" w:rsidRPr="002A01AA" w:rsidTr="005C7D68">
        <w:tc>
          <w:tcPr>
            <w:tcW w:w="3891" w:type="dxa"/>
          </w:tcPr>
          <w:p w:rsidR="00923657" w:rsidRDefault="00923657" w:rsidP="005C7D68">
            <w:pPr>
              <w:pStyle w:val="Vnbnnidung0"/>
              <w:ind w:firstLine="0"/>
              <w:jc w:val="center"/>
              <w:rPr>
                <w:rFonts w:ascii="Arial" w:hAnsi="Arial" w:cs="Arial"/>
                <w:i/>
                <w:iCs/>
                <w:sz w:val="20"/>
                <w:szCs w:val="20"/>
              </w:rPr>
            </w:pPr>
            <w:r w:rsidRPr="00CC7380">
              <w:rPr>
                <w:rFonts w:ascii="Arial" w:hAnsi="Arial" w:cs="Arial"/>
                <w:sz w:val="20"/>
                <w:szCs w:val="20"/>
              </w:rPr>
              <w:t>Kính gửi:</w:t>
            </w:r>
          </w:p>
        </w:tc>
        <w:tc>
          <w:tcPr>
            <w:tcW w:w="5325" w:type="dxa"/>
          </w:tcPr>
          <w:p w:rsidR="00923657" w:rsidRPr="00923657" w:rsidRDefault="00923657" w:rsidP="00923657">
            <w:pPr>
              <w:pStyle w:val="Vnbnnidung0"/>
              <w:spacing w:after="0"/>
              <w:ind w:firstLine="0"/>
              <w:rPr>
                <w:rFonts w:ascii="Arial" w:hAnsi="Arial" w:cs="Arial"/>
                <w:sz w:val="20"/>
                <w:szCs w:val="20"/>
              </w:rPr>
            </w:pPr>
            <w:r w:rsidRPr="00923657">
              <w:rPr>
                <w:rFonts w:ascii="Arial" w:hAnsi="Arial" w:cs="Arial"/>
                <w:sz w:val="20"/>
                <w:szCs w:val="20"/>
              </w:rPr>
              <w:t>Công ty TNHH Một thành viên Xổ số Kiến thiết An Giang;</w:t>
            </w:r>
          </w:p>
          <w:p w:rsidR="00923657" w:rsidRDefault="00923657" w:rsidP="00923657">
            <w:pPr>
              <w:pStyle w:val="Vnbnnidung0"/>
              <w:ind w:firstLine="0"/>
              <w:rPr>
                <w:rFonts w:ascii="Arial" w:hAnsi="Arial" w:cs="Arial"/>
                <w:sz w:val="20"/>
                <w:szCs w:val="20"/>
              </w:rPr>
            </w:pPr>
            <w:r w:rsidRPr="00923657">
              <w:rPr>
                <w:rFonts w:ascii="Arial" w:hAnsi="Arial" w:cs="Arial"/>
                <w:sz w:val="20"/>
                <w:szCs w:val="20"/>
              </w:rPr>
              <w:t>Địa chỉ: số 64C đường Nguyễn Thái Học, phường Mỹ Bình,</w:t>
            </w:r>
            <w:r>
              <w:rPr>
                <w:rFonts w:ascii="Arial" w:hAnsi="Arial" w:cs="Arial"/>
                <w:sz w:val="20"/>
                <w:szCs w:val="20"/>
                <w:lang w:val="en-US"/>
              </w:rPr>
              <w:t xml:space="preserve"> </w:t>
            </w:r>
            <w:r w:rsidRPr="00923657">
              <w:rPr>
                <w:rFonts w:ascii="Arial" w:hAnsi="Arial" w:cs="Arial"/>
                <w:sz w:val="20"/>
                <w:szCs w:val="20"/>
              </w:rPr>
              <w:t>thành phố Long Xuyên, tỉnh An Giang;</w:t>
            </w:r>
          </w:p>
          <w:p w:rsidR="00923657" w:rsidRPr="002A01AA" w:rsidRDefault="00923657" w:rsidP="00923657">
            <w:pPr>
              <w:pStyle w:val="Vnbnnidung0"/>
              <w:ind w:firstLine="0"/>
              <w:rPr>
                <w:rFonts w:ascii="Arial" w:hAnsi="Arial" w:cs="Arial"/>
                <w:i/>
                <w:iCs/>
                <w:sz w:val="20"/>
                <w:szCs w:val="20"/>
              </w:rPr>
            </w:pPr>
            <w:r w:rsidRPr="00923657">
              <w:rPr>
                <w:rFonts w:ascii="Arial" w:hAnsi="Arial" w:cs="Arial"/>
                <w:sz w:val="20"/>
                <w:szCs w:val="20"/>
              </w:rPr>
              <w:t>Mã số thuế: 1600190393.</w:t>
            </w:r>
          </w:p>
        </w:tc>
      </w:tr>
    </w:tbl>
    <w:p w:rsidR="00C72BCE" w:rsidRPr="00923657" w:rsidRDefault="00AC3834" w:rsidP="00326D1E">
      <w:pPr>
        <w:pStyle w:val="Vnbnnidung0"/>
        <w:spacing w:after="120"/>
        <w:ind w:firstLine="284"/>
        <w:rPr>
          <w:rFonts w:ascii="Arial" w:hAnsi="Arial" w:cs="Arial"/>
          <w:sz w:val="20"/>
          <w:szCs w:val="20"/>
        </w:rPr>
      </w:pPr>
      <w:r w:rsidRPr="00923657">
        <w:rPr>
          <w:rFonts w:ascii="Arial" w:hAnsi="Arial" w:cs="Arial"/>
          <w:sz w:val="20"/>
          <w:szCs w:val="20"/>
        </w:rPr>
        <w:t>Cục Thuế tỉnh An Giang nhận được Công văn số 214/XSKT-TVKT ngày 25/02/2025 của Công ty TNHH Một thành viên X</w:t>
      </w:r>
      <w:r w:rsidRPr="00923657">
        <w:rPr>
          <w:rFonts w:ascii="Arial" w:hAnsi="Arial" w:cs="Arial"/>
          <w:sz w:val="20"/>
          <w:szCs w:val="20"/>
        </w:rPr>
        <w:t>ổ số Kiến thiết An Giang (Công ty) đề nghị hướng dẫn chi phí được trừ khi tính thuế thu nhập doanh nghiệp (TNDN). Vấn đề này, Cục Thuế có ý kiến như sau:</w:t>
      </w:r>
    </w:p>
    <w:p w:rsidR="00C72BCE" w:rsidRPr="00923657" w:rsidRDefault="00AC3834" w:rsidP="00326D1E">
      <w:pPr>
        <w:pStyle w:val="Vnbnnidung0"/>
        <w:spacing w:after="120"/>
        <w:ind w:firstLine="284"/>
        <w:rPr>
          <w:rFonts w:ascii="Arial" w:hAnsi="Arial" w:cs="Arial"/>
          <w:sz w:val="20"/>
          <w:szCs w:val="20"/>
        </w:rPr>
      </w:pPr>
      <w:r w:rsidRPr="00923657">
        <w:rPr>
          <w:rFonts w:ascii="Arial" w:hAnsi="Arial" w:cs="Arial"/>
          <w:sz w:val="20"/>
          <w:szCs w:val="20"/>
        </w:rPr>
        <w:t>Căn cứ Điều 6 Thông tư số 78/2014/TT-BTC ngày 18/06/2014 của Bộ Tài chính hướng dẫn thi hành Nghị định</w:t>
      </w:r>
      <w:r w:rsidRPr="00923657">
        <w:rPr>
          <w:rFonts w:ascii="Arial" w:hAnsi="Arial" w:cs="Arial"/>
          <w:sz w:val="20"/>
          <w:szCs w:val="20"/>
        </w:rPr>
        <w:t xml:space="preserve"> số 218/2013/NĐ-CP ngày 26/12/2013 của Chính phủ quy định và hướng dẫn thi hành Luật Thuế thu nhập doanh nghiệp (được sửa đổi, bổ sung bởi Điều 4 Thông tư số 96/2015/TT-BTC ngày 22/06/2015) quy định các khoản chi được trừ và không được trừ khi xác định thu</w:t>
      </w:r>
      <w:r w:rsidRPr="00923657">
        <w:rPr>
          <w:rFonts w:ascii="Arial" w:hAnsi="Arial" w:cs="Arial"/>
          <w:sz w:val="20"/>
          <w:szCs w:val="20"/>
        </w:rPr>
        <w:t xml:space="preserve"> nhập chịu thuế như sau:</w:t>
      </w:r>
    </w:p>
    <w:p w:rsidR="00C72BCE" w:rsidRPr="00923657" w:rsidRDefault="00AC3834" w:rsidP="00326D1E">
      <w:pPr>
        <w:pStyle w:val="Vnbnnidung0"/>
        <w:spacing w:after="120"/>
        <w:ind w:firstLine="284"/>
        <w:rPr>
          <w:rFonts w:ascii="Arial" w:hAnsi="Arial" w:cs="Arial"/>
          <w:sz w:val="20"/>
          <w:szCs w:val="20"/>
        </w:rPr>
      </w:pPr>
      <w:r w:rsidRPr="00923657">
        <w:rPr>
          <w:rFonts w:ascii="Arial" w:hAnsi="Arial" w:cs="Arial"/>
          <w:i/>
          <w:iCs/>
          <w:sz w:val="20"/>
          <w:szCs w:val="20"/>
        </w:rPr>
        <w:t>““Điều 6. Các khoản chi được trừ và không được trừ khi xác định thu nhập chịu thuế</w:t>
      </w:r>
    </w:p>
    <w:p w:rsidR="00C72BCE" w:rsidRPr="00923657" w:rsidRDefault="00326D1E" w:rsidP="00326D1E">
      <w:pPr>
        <w:pStyle w:val="Vnbnnidung0"/>
        <w:tabs>
          <w:tab w:val="left" w:pos="1102"/>
        </w:tabs>
        <w:spacing w:after="120"/>
        <w:ind w:firstLine="284"/>
        <w:rPr>
          <w:rFonts w:ascii="Arial" w:hAnsi="Arial" w:cs="Arial"/>
          <w:sz w:val="20"/>
          <w:szCs w:val="20"/>
        </w:rPr>
      </w:pPr>
      <w:bookmarkStart w:id="1" w:name="bookmark0"/>
      <w:bookmarkEnd w:id="1"/>
      <w:r>
        <w:rPr>
          <w:rFonts w:ascii="Arial" w:hAnsi="Arial" w:cs="Arial"/>
          <w:i/>
          <w:iCs/>
          <w:sz w:val="20"/>
          <w:szCs w:val="20"/>
          <w:lang w:val="en-US"/>
        </w:rPr>
        <w:t xml:space="preserve">1. </w:t>
      </w:r>
      <w:r w:rsidR="00AC3834" w:rsidRPr="00923657">
        <w:rPr>
          <w:rFonts w:ascii="Arial" w:hAnsi="Arial" w:cs="Arial"/>
          <w:i/>
          <w:iCs/>
          <w:sz w:val="20"/>
          <w:szCs w:val="20"/>
        </w:rPr>
        <w:t>Trừ các khoản chi không được trừ nêu tại Khoản 2 Điều này, doanh nghiệp được trừ mọi khoản chi nếu đáp ứng đủ các điều kiện sau:</w:t>
      </w:r>
    </w:p>
    <w:p w:rsidR="00C72BCE" w:rsidRPr="00923657" w:rsidRDefault="00326D1E" w:rsidP="00326D1E">
      <w:pPr>
        <w:pStyle w:val="Vnbnnidung0"/>
        <w:tabs>
          <w:tab w:val="left" w:pos="1126"/>
        </w:tabs>
        <w:spacing w:after="120"/>
        <w:ind w:firstLine="284"/>
        <w:rPr>
          <w:rFonts w:ascii="Arial" w:hAnsi="Arial" w:cs="Arial"/>
          <w:sz w:val="20"/>
          <w:szCs w:val="20"/>
        </w:rPr>
      </w:pPr>
      <w:bookmarkStart w:id="2" w:name="bookmark1"/>
      <w:bookmarkEnd w:id="2"/>
      <w:r>
        <w:rPr>
          <w:rFonts w:ascii="Arial" w:hAnsi="Arial" w:cs="Arial"/>
          <w:i/>
          <w:iCs/>
          <w:sz w:val="20"/>
          <w:szCs w:val="20"/>
          <w:lang w:val="en-US"/>
        </w:rPr>
        <w:t xml:space="preserve">a) </w:t>
      </w:r>
      <w:r w:rsidR="00AC3834" w:rsidRPr="00923657">
        <w:rPr>
          <w:rFonts w:ascii="Arial" w:hAnsi="Arial" w:cs="Arial"/>
          <w:i/>
          <w:iCs/>
          <w:sz w:val="20"/>
          <w:szCs w:val="20"/>
        </w:rPr>
        <w:t xml:space="preserve">Khoản chi thực tế </w:t>
      </w:r>
      <w:r w:rsidR="00AC3834" w:rsidRPr="00923657">
        <w:rPr>
          <w:rFonts w:ascii="Arial" w:hAnsi="Arial" w:cs="Arial"/>
          <w:i/>
          <w:iCs/>
          <w:sz w:val="20"/>
          <w:szCs w:val="20"/>
        </w:rPr>
        <w:t>phát sinh liên quan đến hoạt động sản xuất, kinh doanh của doanh nghiệp.</w:t>
      </w:r>
    </w:p>
    <w:p w:rsidR="00C72BCE" w:rsidRPr="00923657" w:rsidRDefault="00326D1E" w:rsidP="00326D1E">
      <w:pPr>
        <w:pStyle w:val="Vnbnnidung0"/>
        <w:tabs>
          <w:tab w:val="left" w:pos="1126"/>
        </w:tabs>
        <w:spacing w:after="120"/>
        <w:ind w:firstLine="284"/>
        <w:rPr>
          <w:rFonts w:ascii="Arial" w:hAnsi="Arial" w:cs="Arial"/>
          <w:sz w:val="20"/>
          <w:szCs w:val="20"/>
        </w:rPr>
      </w:pPr>
      <w:bookmarkStart w:id="3" w:name="bookmark2"/>
      <w:bookmarkEnd w:id="3"/>
      <w:r>
        <w:rPr>
          <w:rFonts w:ascii="Arial" w:hAnsi="Arial" w:cs="Arial"/>
          <w:i/>
          <w:iCs/>
          <w:sz w:val="20"/>
          <w:szCs w:val="20"/>
          <w:lang w:val="en-US"/>
        </w:rPr>
        <w:t xml:space="preserve">b) </w:t>
      </w:r>
      <w:r w:rsidR="00AC3834" w:rsidRPr="00923657">
        <w:rPr>
          <w:rFonts w:ascii="Arial" w:hAnsi="Arial" w:cs="Arial"/>
          <w:i/>
          <w:iCs/>
          <w:sz w:val="20"/>
          <w:szCs w:val="20"/>
        </w:rPr>
        <w:t>Khoản chi có đủ hoá đơn, chứng từ hợp pháp theo quy định của pháp luật.</w:t>
      </w:r>
    </w:p>
    <w:p w:rsidR="00C72BCE" w:rsidRPr="00923657" w:rsidRDefault="00326D1E" w:rsidP="00326D1E">
      <w:pPr>
        <w:pStyle w:val="Vnbnnidung0"/>
        <w:tabs>
          <w:tab w:val="left" w:pos="1131"/>
        </w:tabs>
        <w:spacing w:after="120"/>
        <w:ind w:firstLine="284"/>
        <w:rPr>
          <w:rFonts w:ascii="Arial" w:hAnsi="Arial" w:cs="Arial"/>
          <w:sz w:val="20"/>
          <w:szCs w:val="20"/>
        </w:rPr>
      </w:pPr>
      <w:bookmarkStart w:id="4" w:name="bookmark3"/>
      <w:bookmarkEnd w:id="4"/>
      <w:r>
        <w:rPr>
          <w:rFonts w:ascii="Arial" w:hAnsi="Arial" w:cs="Arial"/>
          <w:i/>
          <w:iCs/>
          <w:sz w:val="20"/>
          <w:szCs w:val="20"/>
          <w:lang w:val="en-US"/>
        </w:rPr>
        <w:t xml:space="preserve">c) </w:t>
      </w:r>
      <w:r w:rsidR="00AC3834" w:rsidRPr="00923657">
        <w:rPr>
          <w:rFonts w:ascii="Arial" w:hAnsi="Arial" w:cs="Arial"/>
          <w:i/>
          <w:iCs/>
          <w:sz w:val="20"/>
          <w:szCs w:val="20"/>
        </w:rPr>
        <w:t>Khoản chi nếu có hoá đơn mua hàng hoá, dịch vụ từng lần có giá trị từ 20 triệu đồng trở lên (giá đã bao gồm thu</w:t>
      </w:r>
      <w:r w:rsidR="00AC3834" w:rsidRPr="00923657">
        <w:rPr>
          <w:rFonts w:ascii="Arial" w:hAnsi="Arial" w:cs="Arial"/>
          <w:i/>
          <w:iCs/>
          <w:sz w:val="20"/>
          <w:szCs w:val="20"/>
        </w:rPr>
        <w:t>ế GTGT) khi thanh toán phải có chứng từ thanh toán không dùng tiền mặt.</w:t>
      </w:r>
    </w:p>
    <w:p w:rsidR="00C72BCE" w:rsidRDefault="00AC3834" w:rsidP="00326D1E">
      <w:pPr>
        <w:pStyle w:val="Vnbnnidung0"/>
        <w:spacing w:after="120"/>
        <w:ind w:firstLine="284"/>
        <w:rPr>
          <w:rFonts w:ascii="Arial" w:hAnsi="Arial" w:cs="Arial"/>
          <w:i/>
          <w:iCs/>
          <w:sz w:val="20"/>
          <w:szCs w:val="20"/>
        </w:rPr>
      </w:pPr>
      <w:r w:rsidRPr="00923657">
        <w:rPr>
          <w:rFonts w:ascii="Arial" w:hAnsi="Arial" w:cs="Arial"/>
          <w:i/>
          <w:iCs/>
          <w:sz w:val="20"/>
          <w:szCs w:val="20"/>
        </w:rPr>
        <w:t>Chứng từ thanh toán không dùng tiền mặt thực hiện theo quy định của các văn bản pháp luật về thuế giá trị gia tăng.</w:t>
      </w:r>
    </w:p>
    <w:p w:rsidR="00326D1E" w:rsidRPr="00326D1E" w:rsidRDefault="00326D1E" w:rsidP="00326D1E">
      <w:pPr>
        <w:pStyle w:val="Vnbnnidung0"/>
        <w:spacing w:after="120"/>
        <w:ind w:firstLine="284"/>
        <w:rPr>
          <w:rFonts w:ascii="Arial" w:hAnsi="Arial" w:cs="Arial"/>
          <w:sz w:val="20"/>
          <w:szCs w:val="20"/>
          <w:lang w:val="en-US"/>
        </w:rPr>
      </w:pPr>
      <w:r>
        <w:rPr>
          <w:rFonts w:ascii="Arial" w:hAnsi="Arial" w:cs="Arial"/>
          <w:i/>
          <w:iCs/>
          <w:sz w:val="20"/>
          <w:szCs w:val="20"/>
          <w:lang w:val="en-US"/>
        </w:rPr>
        <w:t>…</w:t>
      </w:r>
    </w:p>
    <w:p w:rsidR="00C72BCE" w:rsidRPr="00923657" w:rsidRDefault="00326D1E" w:rsidP="00326D1E">
      <w:pPr>
        <w:pStyle w:val="Vnbnnidung0"/>
        <w:tabs>
          <w:tab w:val="left" w:pos="1113"/>
        </w:tabs>
        <w:spacing w:after="120"/>
        <w:ind w:firstLine="284"/>
        <w:rPr>
          <w:rFonts w:ascii="Arial" w:hAnsi="Arial" w:cs="Arial"/>
          <w:sz w:val="20"/>
          <w:szCs w:val="20"/>
        </w:rPr>
      </w:pPr>
      <w:bookmarkStart w:id="5" w:name="bookmark4"/>
      <w:bookmarkEnd w:id="5"/>
      <w:r>
        <w:rPr>
          <w:rFonts w:ascii="Arial" w:hAnsi="Arial" w:cs="Arial"/>
          <w:i/>
          <w:iCs/>
          <w:sz w:val="20"/>
          <w:szCs w:val="20"/>
          <w:lang w:val="en-US"/>
        </w:rPr>
        <w:t xml:space="preserve">2. </w:t>
      </w:r>
      <w:r w:rsidR="00AC3834" w:rsidRPr="00923657">
        <w:rPr>
          <w:rFonts w:ascii="Arial" w:hAnsi="Arial" w:cs="Arial"/>
          <w:i/>
          <w:iCs/>
          <w:sz w:val="20"/>
          <w:szCs w:val="20"/>
        </w:rPr>
        <w:t>Các khoản chi không được trừ khi xác định thu nhập chịu thuế bao</w:t>
      </w:r>
      <w:r>
        <w:rPr>
          <w:rFonts w:ascii="Arial" w:hAnsi="Arial" w:cs="Arial"/>
          <w:i/>
          <w:iCs/>
          <w:sz w:val="20"/>
          <w:szCs w:val="20"/>
          <w:lang w:val="en-US"/>
        </w:rPr>
        <w:t xml:space="preserve"> </w:t>
      </w:r>
      <w:r w:rsidR="00AC3834" w:rsidRPr="00923657">
        <w:rPr>
          <w:rFonts w:ascii="Arial" w:hAnsi="Arial" w:cs="Arial"/>
          <w:i/>
          <w:iCs/>
          <w:sz w:val="20"/>
          <w:szCs w:val="20"/>
        </w:rPr>
        <w:t>g</w:t>
      </w:r>
      <w:r>
        <w:rPr>
          <w:rFonts w:ascii="Arial" w:hAnsi="Arial" w:cs="Arial"/>
          <w:i/>
          <w:iCs/>
          <w:sz w:val="20"/>
          <w:szCs w:val="20"/>
          <w:lang w:val="en-US"/>
        </w:rPr>
        <w:t>ồ</w:t>
      </w:r>
      <w:r w:rsidR="00AC3834" w:rsidRPr="00923657">
        <w:rPr>
          <w:rFonts w:ascii="Arial" w:hAnsi="Arial" w:cs="Arial"/>
          <w:i/>
          <w:iCs/>
          <w:sz w:val="20"/>
          <w:szCs w:val="20"/>
        </w:rPr>
        <w:t>m:</w:t>
      </w:r>
    </w:p>
    <w:p w:rsidR="00C72BCE" w:rsidRDefault="00AC3834" w:rsidP="00326D1E">
      <w:pPr>
        <w:pStyle w:val="Vnbnnidung0"/>
        <w:spacing w:after="120"/>
        <w:ind w:firstLine="284"/>
        <w:rPr>
          <w:rFonts w:ascii="Arial" w:hAnsi="Arial" w:cs="Arial"/>
          <w:i/>
          <w:iCs/>
          <w:sz w:val="20"/>
          <w:szCs w:val="20"/>
        </w:rPr>
      </w:pPr>
      <w:r w:rsidRPr="00923657">
        <w:rPr>
          <w:rFonts w:ascii="Arial" w:hAnsi="Arial" w:cs="Arial"/>
          <w:i/>
          <w:iCs/>
          <w:sz w:val="20"/>
          <w:szCs w:val="20"/>
        </w:rPr>
        <w:t>2.1. Khoản chi không đáp ứng đủ các điều kiện quy định tại Khoản 1 Điều này.</w:t>
      </w:r>
    </w:p>
    <w:p w:rsidR="00326D1E" w:rsidRPr="00326D1E" w:rsidRDefault="00326D1E" w:rsidP="00326D1E">
      <w:pPr>
        <w:pStyle w:val="Vnbnnidung0"/>
        <w:spacing w:after="120"/>
        <w:ind w:firstLine="284"/>
        <w:rPr>
          <w:rFonts w:ascii="Arial" w:hAnsi="Arial" w:cs="Arial"/>
          <w:sz w:val="20"/>
          <w:szCs w:val="20"/>
          <w:lang w:val="en-US"/>
        </w:rPr>
      </w:pPr>
      <w:r>
        <w:rPr>
          <w:rFonts w:ascii="Arial" w:hAnsi="Arial" w:cs="Arial"/>
          <w:i/>
          <w:iCs/>
          <w:sz w:val="20"/>
          <w:szCs w:val="20"/>
          <w:lang w:val="en-US"/>
        </w:rPr>
        <w:t>…”</w:t>
      </w:r>
    </w:p>
    <w:p w:rsidR="00C72BCE" w:rsidRPr="00923657" w:rsidRDefault="00AC3834" w:rsidP="00326D1E">
      <w:pPr>
        <w:pStyle w:val="Vnbnnidung0"/>
        <w:spacing w:after="120"/>
        <w:ind w:firstLine="284"/>
        <w:rPr>
          <w:rFonts w:ascii="Arial" w:hAnsi="Arial" w:cs="Arial"/>
          <w:sz w:val="20"/>
          <w:szCs w:val="20"/>
        </w:rPr>
      </w:pPr>
      <w:r w:rsidRPr="00923657">
        <w:rPr>
          <w:rFonts w:ascii="Arial" w:hAnsi="Arial" w:cs="Arial"/>
          <w:sz w:val="20"/>
          <w:szCs w:val="20"/>
        </w:rPr>
        <w:t>Căn cứ các quy định nêu trên, trường hợp Công ty phát sinh các hoạt động tài trợ, cho, biếu tặng hàng hóa không thu tiền cho khách hàng và đối tác kinh doanh, thì:</w:t>
      </w:r>
    </w:p>
    <w:p w:rsidR="00C72BCE" w:rsidRPr="00923657" w:rsidRDefault="00326D1E" w:rsidP="00326D1E">
      <w:pPr>
        <w:pStyle w:val="Vnbnnidung0"/>
        <w:tabs>
          <w:tab w:val="left" w:pos="1002"/>
        </w:tabs>
        <w:spacing w:after="120"/>
        <w:ind w:firstLine="284"/>
        <w:rPr>
          <w:rFonts w:ascii="Arial" w:hAnsi="Arial" w:cs="Arial"/>
          <w:sz w:val="20"/>
          <w:szCs w:val="20"/>
        </w:rPr>
      </w:pPr>
      <w:bookmarkStart w:id="6" w:name="bookmark5"/>
      <w:bookmarkEnd w:id="6"/>
      <w:r>
        <w:rPr>
          <w:rFonts w:ascii="Arial" w:hAnsi="Arial" w:cs="Arial"/>
          <w:sz w:val="20"/>
          <w:szCs w:val="20"/>
          <w:lang w:val="en-US"/>
        </w:rPr>
        <w:t xml:space="preserve">- </w:t>
      </w:r>
      <w:r w:rsidR="00AC3834" w:rsidRPr="00923657">
        <w:rPr>
          <w:rFonts w:ascii="Arial" w:hAnsi="Arial" w:cs="Arial"/>
          <w:sz w:val="20"/>
          <w:szCs w:val="20"/>
        </w:rPr>
        <w:t xml:space="preserve">Chi phí tài </w:t>
      </w:r>
      <w:r w:rsidR="00AC3834" w:rsidRPr="00923657">
        <w:rPr>
          <w:rFonts w:ascii="Arial" w:hAnsi="Arial" w:cs="Arial"/>
          <w:sz w:val="20"/>
          <w:szCs w:val="20"/>
        </w:rPr>
        <w:t>trợ, biếu, tặng hàng hóa được tính vào chi phí được trừ khi xác định thu nhập chịu thuế thu nhập doanh nghiệp nếu đáp ứng điều kiện quy định tại khoản 1, khoản 2 Điều 6 Thông tư số 78/2014/TT-BTC (được sửa đổi, bổ sung bởi Điều 4 Thông tư số 96/2015/TT-BTC</w:t>
      </w:r>
      <w:r w:rsidR="00AC3834" w:rsidRPr="00923657">
        <w:rPr>
          <w:rFonts w:ascii="Arial" w:hAnsi="Arial" w:cs="Arial"/>
          <w:sz w:val="20"/>
          <w:szCs w:val="20"/>
        </w:rPr>
        <w:t>).</w:t>
      </w:r>
    </w:p>
    <w:p w:rsidR="00C72BCE" w:rsidRPr="00923657" w:rsidRDefault="00326D1E" w:rsidP="00326D1E">
      <w:pPr>
        <w:pStyle w:val="Vnbnnidung0"/>
        <w:tabs>
          <w:tab w:val="left" w:pos="1002"/>
        </w:tabs>
        <w:spacing w:after="120"/>
        <w:ind w:firstLine="284"/>
        <w:rPr>
          <w:rFonts w:ascii="Arial" w:hAnsi="Arial" w:cs="Arial"/>
          <w:sz w:val="20"/>
          <w:szCs w:val="20"/>
        </w:rPr>
      </w:pPr>
      <w:bookmarkStart w:id="7" w:name="bookmark6"/>
      <w:bookmarkEnd w:id="7"/>
      <w:r>
        <w:rPr>
          <w:rFonts w:ascii="Arial" w:hAnsi="Arial" w:cs="Arial"/>
          <w:sz w:val="20"/>
          <w:szCs w:val="20"/>
          <w:lang w:val="en-US"/>
        </w:rPr>
        <w:t xml:space="preserve">- </w:t>
      </w:r>
      <w:r w:rsidR="00AC3834" w:rsidRPr="00923657">
        <w:rPr>
          <w:rFonts w:ascii="Arial" w:hAnsi="Arial" w:cs="Arial"/>
          <w:sz w:val="20"/>
          <w:szCs w:val="20"/>
        </w:rPr>
        <w:t>Theo quy định pháp luật về thuế TNDN hiện hành, không có quy định tính vào chi phí được trừ khi xác định thu nhập chịu thuế TNDN đối với khoản tiền thuế GTGT đầu ra của hàng hóa cho, biếu tặng, tài trợ. Do đó, đối với khoản tiền thuế GTGT đầu ra của hàn</w:t>
      </w:r>
      <w:r w:rsidR="00AC3834" w:rsidRPr="00923657">
        <w:rPr>
          <w:rFonts w:ascii="Arial" w:hAnsi="Arial" w:cs="Arial"/>
          <w:sz w:val="20"/>
          <w:szCs w:val="20"/>
        </w:rPr>
        <w:t>g hóa cho, biếu tặng, tài trợ không được tính vào chi phí được trừ khi xác định thu nhập chịu thuế TNDN.</w:t>
      </w:r>
    </w:p>
    <w:p w:rsidR="00C72BCE" w:rsidRPr="00923657" w:rsidRDefault="00AC3834" w:rsidP="00326D1E">
      <w:pPr>
        <w:pStyle w:val="Vnbnnidung0"/>
        <w:spacing w:after="120"/>
        <w:ind w:firstLine="284"/>
        <w:rPr>
          <w:rFonts w:ascii="Arial" w:hAnsi="Arial" w:cs="Arial"/>
          <w:sz w:val="20"/>
          <w:szCs w:val="20"/>
        </w:rPr>
      </w:pPr>
      <w:r w:rsidRPr="00923657">
        <w:rPr>
          <w:rFonts w:ascii="Arial" w:hAnsi="Arial" w:cs="Arial"/>
          <w:sz w:val="20"/>
          <w:szCs w:val="20"/>
        </w:rPr>
        <w:t xml:space="preserve">Tùy theo tình hình thực tế phát sinh tại đơn vị, Công ty xác định nghĩa vụ thuế, thực hiện kê khai và nộp thuế theo đúng quy định pháp luật. Trong quá </w:t>
      </w:r>
      <w:r w:rsidRPr="00923657">
        <w:rPr>
          <w:rFonts w:ascii="Arial" w:hAnsi="Arial" w:cs="Arial"/>
          <w:sz w:val="20"/>
          <w:szCs w:val="20"/>
        </w:rPr>
        <w:t>trình thực hiện, nếu các văn bản liên quan viện dẫn tại Công văn này được sửa đổi, bổ sung hoặc thay thế thì thực hiện theo văn bản mới được sửa đổi, bổ sung hoặc thay thế.</w:t>
      </w:r>
    </w:p>
    <w:p w:rsidR="00C72BCE" w:rsidRPr="00923657" w:rsidRDefault="00AC3834" w:rsidP="00326D1E">
      <w:pPr>
        <w:pStyle w:val="Vnbnnidung0"/>
        <w:spacing w:after="120"/>
        <w:ind w:firstLine="284"/>
        <w:rPr>
          <w:rFonts w:ascii="Arial" w:hAnsi="Arial" w:cs="Arial"/>
          <w:sz w:val="20"/>
          <w:szCs w:val="20"/>
        </w:rPr>
      </w:pPr>
      <w:r w:rsidRPr="00923657">
        <w:rPr>
          <w:rFonts w:ascii="Arial" w:hAnsi="Arial" w:cs="Arial"/>
          <w:sz w:val="20"/>
          <w:szCs w:val="20"/>
        </w:rPr>
        <w:t xml:space="preserve">Công ty có thể tham khảo các văn bản hướng dẫn của Cục Thuế trên website </w:t>
      </w:r>
      <w:hyperlink r:id="rId7" w:history="1">
        <w:r w:rsidRPr="00923657">
          <w:rPr>
            <w:rFonts w:ascii="Arial" w:hAnsi="Arial" w:cs="Arial"/>
            <w:color w:val="0000FF"/>
            <w:sz w:val="20"/>
            <w:szCs w:val="20"/>
            <w:u w:val="single"/>
          </w:rPr>
          <w:t>https://angiang.gdt.gov.vn</w:t>
        </w:r>
        <w:r w:rsidRPr="00923657">
          <w:rPr>
            <w:rFonts w:ascii="Arial" w:hAnsi="Arial" w:cs="Arial"/>
            <w:color w:val="0000FF"/>
            <w:sz w:val="20"/>
            <w:szCs w:val="20"/>
          </w:rPr>
          <w:t xml:space="preserve"> </w:t>
        </w:r>
      </w:hyperlink>
      <w:r w:rsidRPr="00923657">
        <w:rPr>
          <w:rFonts w:ascii="Arial" w:hAnsi="Arial" w:cs="Arial"/>
          <w:sz w:val="20"/>
          <w:szCs w:val="20"/>
        </w:rPr>
        <w:t xml:space="preserve">hoặc liên hệ Phòng Tuyên truyền - Hỗ trợ người nộp thuế qua số điện thoại: </w:t>
      </w:r>
      <w:r w:rsidRPr="00923657">
        <w:rPr>
          <w:rFonts w:ascii="Arial" w:hAnsi="Arial" w:cs="Arial"/>
          <w:sz w:val="20"/>
          <w:szCs w:val="20"/>
        </w:rPr>
        <w:lastRenderedPageBreak/>
        <w:t>(0296) 3.841.623 để được hướng dẫn thêm.</w:t>
      </w:r>
    </w:p>
    <w:p w:rsidR="00C72BCE" w:rsidRDefault="00AC3834" w:rsidP="00326D1E">
      <w:pPr>
        <w:pStyle w:val="Vnbnnidung0"/>
        <w:spacing w:after="120"/>
        <w:ind w:firstLine="284"/>
        <w:rPr>
          <w:rFonts w:ascii="Arial" w:hAnsi="Arial" w:cs="Arial"/>
          <w:sz w:val="20"/>
          <w:szCs w:val="20"/>
        </w:rPr>
      </w:pPr>
      <w:r w:rsidRPr="00923657">
        <w:rPr>
          <w:rFonts w:ascii="Arial" w:hAnsi="Arial" w:cs="Arial"/>
          <w:sz w:val="20"/>
          <w:szCs w:val="20"/>
        </w:rPr>
        <w:t xml:space="preserve">Cục Thuế </w:t>
      </w:r>
      <w:r w:rsidRPr="00923657">
        <w:rPr>
          <w:rFonts w:ascii="Arial" w:hAnsi="Arial" w:cs="Arial"/>
          <w:sz w:val="20"/>
          <w:szCs w:val="20"/>
        </w:rPr>
        <w:t>tỉnh An Giang trả lời để Công ty TNHH Một thành viên Xổ số Kiến thiết An Giang được biết và thực hiện đúng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68"/>
      </w:tblGrid>
      <w:tr w:rsidR="00923657" w:rsidTr="005C7D68">
        <w:tc>
          <w:tcPr>
            <w:tcW w:w="4583" w:type="dxa"/>
          </w:tcPr>
          <w:p w:rsidR="00923657" w:rsidRPr="00DD6B8D" w:rsidRDefault="00923657" w:rsidP="005C7D68">
            <w:pPr>
              <w:pStyle w:val="Vnbnnidung0"/>
              <w:tabs>
                <w:tab w:val="left" w:pos="6091"/>
              </w:tabs>
              <w:spacing w:after="0"/>
              <w:ind w:firstLine="0"/>
              <w:rPr>
                <w:rFonts w:ascii="Arial" w:hAnsi="Arial" w:cs="Arial"/>
                <w:sz w:val="20"/>
                <w:szCs w:val="20"/>
              </w:rPr>
            </w:pPr>
            <w:r w:rsidRPr="00DD6B8D">
              <w:rPr>
                <w:rFonts w:ascii="Arial" w:hAnsi="Arial" w:cs="Arial"/>
                <w:b/>
                <w:bCs/>
                <w:sz w:val="20"/>
                <w:szCs w:val="20"/>
              </w:rPr>
              <w:t>Nơi nhận:</w:t>
            </w:r>
          </w:p>
          <w:p w:rsidR="00923657" w:rsidRPr="00923657" w:rsidRDefault="00923657" w:rsidP="00923657">
            <w:pPr>
              <w:pStyle w:val="Vnbnnidung20"/>
              <w:tabs>
                <w:tab w:val="left" w:pos="258"/>
              </w:tabs>
              <w:rPr>
                <w:rFonts w:ascii="Arial" w:hAnsi="Arial" w:cs="Arial"/>
                <w:sz w:val="20"/>
                <w:szCs w:val="20"/>
              </w:rPr>
            </w:pPr>
            <w:r>
              <w:rPr>
                <w:rFonts w:ascii="Arial" w:hAnsi="Arial" w:cs="Arial"/>
                <w:sz w:val="20"/>
                <w:szCs w:val="20"/>
                <w:lang w:val="en-US"/>
              </w:rPr>
              <w:t xml:space="preserve">- </w:t>
            </w:r>
            <w:r w:rsidRPr="00923657">
              <w:rPr>
                <w:rFonts w:ascii="Arial" w:hAnsi="Arial" w:cs="Arial"/>
                <w:sz w:val="20"/>
                <w:szCs w:val="20"/>
              </w:rPr>
              <w:t>Như trên;</w:t>
            </w:r>
          </w:p>
          <w:p w:rsidR="00923657" w:rsidRPr="00923657" w:rsidRDefault="00923657" w:rsidP="00923657">
            <w:pPr>
              <w:pStyle w:val="Vnbnnidung20"/>
              <w:tabs>
                <w:tab w:val="left" w:pos="258"/>
              </w:tabs>
              <w:rPr>
                <w:rFonts w:ascii="Arial" w:hAnsi="Arial" w:cs="Arial"/>
                <w:sz w:val="20"/>
                <w:szCs w:val="20"/>
              </w:rPr>
            </w:pPr>
            <w:bookmarkStart w:id="8" w:name="bookmark8"/>
            <w:bookmarkEnd w:id="8"/>
            <w:r>
              <w:rPr>
                <w:rFonts w:ascii="Arial" w:hAnsi="Arial" w:cs="Arial"/>
                <w:sz w:val="20"/>
                <w:szCs w:val="20"/>
                <w:lang w:val="en-US"/>
              </w:rPr>
              <w:t xml:space="preserve">- </w:t>
            </w:r>
            <w:r w:rsidRPr="00923657">
              <w:rPr>
                <w:rFonts w:ascii="Arial" w:hAnsi="Arial" w:cs="Arial"/>
                <w:sz w:val="20"/>
                <w:szCs w:val="20"/>
              </w:rPr>
              <w:t>BLĐ Cục Thuế;</w:t>
            </w:r>
          </w:p>
          <w:p w:rsidR="00923657" w:rsidRPr="00923657" w:rsidRDefault="00923657" w:rsidP="00923657">
            <w:pPr>
              <w:pStyle w:val="Vnbnnidung20"/>
              <w:tabs>
                <w:tab w:val="left" w:pos="258"/>
              </w:tabs>
              <w:rPr>
                <w:rFonts w:ascii="Arial" w:hAnsi="Arial" w:cs="Arial"/>
                <w:sz w:val="20"/>
                <w:szCs w:val="20"/>
              </w:rPr>
            </w:pPr>
            <w:bookmarkStart w:id="9" w:name="bookmark9"/>
            <w:bookmarkEnd w:id="9"/>
            <w:r>
              <w:rPr>
                <w:rFonts w:ascii="Arial" w:hAnsi="Arial" w:cs="Arial"/>
                <w:sz w:val="20"/>
                <w:szCs w:val="20"/>
                <w:lang w:val="en-US"/>
              </w:rPr>
              <w:t xml:space="preserve">- </w:t>
            </w:r>
            <w:r w:rsidRPr="00923657">
              <w:rPr>
                <w:rFonts w:ascii="Arial" w:hAnsi="Arial" w:cs="Arial"/>
                <w:sz w:val="20"/>
                <w:szCs w:val="20"/>
              </w:rPr>
              <w:t>Cổng thông tin điện tử AG;</w:t>
            </w:r>
          </w:p>
          <w:p w:rsidR="00923657" w:rsidRPr="00923657" w:rsidRDefault="00923657" w:rsidP="00923657">
            <w:pPr>
              <w:pStyle w:val="Vnbnnidung20"/>
              <w:tabs>
                <w:tab w:val="left" w:pos="258"/>
              </w:tabs>
              <w:rPr>
                <w:rFonts w:ascii="Arial" w:hAnsi="Arial" w:cs="Arial"/>
                <w:sz w:val="20"/>
                <w:szCs w:val="20"/>
              </w:rPr>
            </w:pPr>
            <w:bookmarkStart w:id="10" w:name="bookmark10"/>
            <w:bookmarkEnd w:id="10"/>
            <w:r>
              <w:rPr>
                <w:rFonts w:ascii="Arial" w:hAnsi="Arial" w:cs="Arial"/>
                <w:sz w:val="20"/>
                <w:szCs w:val="20"/>
                <w:lang w:val="en-US"/>
              </w:rPr>
              <w:t xml:space="preserve">- </w:t>
            </w:r>
            <w:r w:rsidRPr="00923657">
              <w:rPr>
                <w:rFonts w:ascii="Arial" w:hAnsi="Arial" w:cs="Arial"/>
                <w:sz w:val="20"/>
                <w:szCs w:val="20"/>
              </w:rPr>
              <w:t xml:space="preserve">Website: </w:t>
            </w:r>
            <w:hyperlink r:id="rId8" w:history="1">
              <w:r w:rsidRPr="00923657">
                <w:rPr>
                  <w:rFonts w:ascii="Arial" w:hAnsi="Arial" w:cs="Arial"/>
                  <w:sz w:val="20"/>
                  <w:szCs w:val="20"/>
                </w:rPr>
                <w:t>http://angiang.gdt.gov.vn</w:t>
              </w:r>
            </w:hyperlink>
            <w:r w:rsidRPr="00923657">
              <w:rPr>
                <w:rFonts w:ascii="Arial" w:hAnsi="Arial" w:cs="Arial"/>
                <w:sz w:val="20"/>
                <w:szCs w:val="20"/>
              </w:rPr>
              <w:t>;</w:t>
            </w:r>
          </w:p>
          <w:p w:rsidR="00923657" w:rsidRPr="00923657" w:rsidRDefault="00923657" w:rsidP="00923657">
            <w:pPr>
              <w:pStyle w:val="Vnbnnidung20"/>
              <w:tabs>
                <w:tab w:val="left" w:pos="258"/>
              </w:tabs>
              <w:rPr>
                <w:rFonts w:ascii="Arial" w:hAnsi="Arial" w:cs="Arial"/>
                <w:sz w:val="20"/>
                <w:szCs w:val="20"/>
              </w:rPr>
            </w:pPr>
            <w:bookmarkStart w:id="11" w:name="bookmark11"/>
            <w:bookmarkEnd w:id="11"/>
            <w:r>
              <w:rPr>
                <w:rFonts w:ascii="Arial" w:hAnsi="Arial" w:cs="Arial"/>
                <w:sz w:val="20"/>
                <w:szCs w:val="20"/>
                <w:lang w:val="en-US"/>
              </w:rPr>
              <w:t xml:space="preserve">- </w:t>
            </w:r>
            <w:r w:rsidRPr="00923657">
              <w:rPr>
                <w:rFonts w:ascii="Arial" w:hAnsi="Arial" w:cs="Arial"/>
                <w:sz w:val="20"/>
                <w:szCs w:val="20"/>
              </w:rPr>
              <w:t xml:space="preserve">Phòng: </w:t>
            </w:r>
            <w:r w:rsidRPr="00923657">
              <w:rPr>
                <w:rFonts w:ascii="Arial" w:hAnsi="Arial" w:cs="Arial"/>
                <w:smallCaps/>
                <w:sz w:val="20"/>
                <w:szCs w:val="20"/>
              </w:rPr>
              <w:t>KtNb,</w:t>
            </w:r>
            <w:r w:rsidRPr="00923657">
              <w:rPr>
                <w:rFonts w:ascii="Arial" w:hAnsi="Arial" w:cs="Arial"/>
                <w:sz w:val="20"/>
                <w:szCs w:val="20"/>
              </w:rPr>
              <w:t xml:space="preserve"> TTKT1;</w:t>
            </w:r>
          </w:p>
          <w:p w:rsidR="00923657" w:rsidRPr="00923657" w:rsidRDefault="00923657" w:rsidP="00923657">
            <w:pPr>
              <w:pStyle w:val="Vnbnnidung20"/>
              <w:tabs>
                <w:tab w:val="left" w:pos="258"/>
              </w:tabs>
              <w:spacing w:after="200"/>
              <w:rPr>
                <w:rFonts w:ascii="Arial" w:hAnsi="Arial" w:cs="Arial"/>
                <w:sz w:val="20"/>
                <w:szCs w:val="20"/>
              </w:rPr>
            </w:pPr>
            <w:bookmarkStart w:id="12" w:name="bookmark12"/>
            <w:bookmarkEnd w:id="12"/>
            <w:r>
              <w:rPr>
                <w:rFonts w:ascii="Arial" w:hAnsi="Arial" w:cs="Arial"/>
                <w:sz w:val="20"/>
                <w:szCs w:val="20"/>
                <w:lang w:val="en-US"/>
              </w:rPr>
              <w:t xml:space="preserve">- </w:t>
            </w:r>
            <w:r w:rsidRPr="00923657">
              <w:rPr>
                <w:rFonts w:ascii="Arial" w:hAnsi="Arial" w:cs="Arial"/>
                <w:sz w:val="20"/>
                <w:szCs w:val="20"/>
              </w:rPr>
              <w:t>Lưu: VT, TTHT (12 bộ).</w:t>
            </w:r>
          </w:p>
        </w:tc>
        <w:tc>
          <w:tcPr>
            <w:tcW w:w="4584" w:type="dxa"/>
          </w:tcPr>
          <w:p w:rsidR="00923657" w:rsidRPr="00923657" w:rsidRDefault="00923657" w:rsidP="005C7D68">
            <w:pPr>
              <w:pStyle w:val="Vnbnnidung0"/>
              <w:tabs>
                <w:tab w:val="left" w:pos="4030"/>
                <w:tab w:val="left" w:leader="dot" w:pos="4198"/>
              </w:tabs>
              <w:ind w:left="360" w:firstLine="0"/>
              <w:jc w:val="center"/>
              <w:rPr>
                <w:rFonts w:ascii="Arial" w:hAnsi="Arial" w:cs="Arial"/>
                <w:b/>
                <w:sz w:val="20"/>
                <w:szCs w:val="20"/>
              </w:rPr>
            </w:pPr>
            <w:r w:rsidRPr="00923657">
              <w:rPr>
                <w:rFonts w:ascii="Arial" w:hAnsi="Arial" w:cs="Arial"/>
                <w:b/>
                <w:sz w:val="20"/>
                <w:szCs w:val="20"/>
                <w:lang w:val="en-US"/>
              </w:rPr>
              <w:t>KT. C</w:t>
            </w:r>
            <w:r w:rsidRPr="00923657">
              <w:rPr>
                <w:rFonts w:ascii="Arial" w:hAnsi="Arial" w:cs="Arial"/>
                <w:b/>
                <w:sz w:val="20"/>
                <w:szCs w:val="20"/>
              </w:rPr>
              <w:t>ỤC TRƯỞNG</w:t>
            </w:r>
          </w:p>
          <w:p w:rsidR="00923657" w:rsidRPr="00923657" w:rsidRDefault="00923657" w:rsidP="005C7D68">
            <w:pPr>
              <w:pStyle w:val="Vnbnnidung0"/>
              <w:tabs>
                <w:tab w:val="left" w:pos="4030"/>
                <w:tab w:val="left" w:leader="dot" w:pos="4198"/>
              </w:tabs>
              <w:ind w:left="360" w:firstLine="0"/>
              <w:jc w:val="center"/>
              <w:rPr>
                <w:rFonts w:ascii="Arial" w:hAnsi="Arial" w:cs="Arial"/>
                <w:b/>
                <w:sz w:val="20"/>
                <w:szCs w:val="20"/>
              </w:rPr>
            </w:pPr>
            <w:r w:rsidRPr="00923657">
              <w:rPr>
                <w:rFonts w:ascii="Arial" w:hAnsi="Arial" w:cs="Arial"/>
                <w:b/>
                <w:sz w:val="20"/>
                <w:szCs w:val="20"/>
                <w:lang w:val="en-US"/>
              </w:rPr>
              <w:t>PHÓ C</w:t>
            </w:r>
            <w:r w:rsidRPr="00923657">
              <w:rPr>
                <w:rFonts w:ascii="Arial" w:hAnsi="Arial" w:cs="Arial"/>
                <w:b/>
                <w:sz w:val="20"/>
                <w:szCs w:val="20"/>
              </w:rPr>
              <w:t>ỤC TRƯỞNG</w:t>
            </w:r>
          </w:p>
          <w:p w:rsidR="00923657" w:rsidRPr="00923657" w:rsidRDefault="00923657" w:rsidP="005C7D68">
            <w:pPr>
              <w:pStyle w:val="Vnbnnidung0"/>
              <w:tabs>
                <w:tab w:val="left" w:pos="4030"/>
                <w:tab w:val="left" w:leader="dot" w:pos="4198"/>
              </w:tabs>
              <w:ind w:left="360" w:firstLine="0"/>
              <w:jc w:val="center"/>
              <w:rPr>
                <w:rFonts w:ascii="Arial" w:hAnsi="Arial" w:cs="Arial"/>
                <w:b/>
                <w:sz w:val="20"/>
                <w:szCs w:val="20"/>
              </w:rPr>
            </w:pPr>
          </w:p>
          <w:p w:rsidR="00923657" w:rsidRPr="00DD6B8D" w:rsidRDefault="00923657" w:rsidP="005C7D68">
            <w:pPr>
              <w:pStyle w:val="Vnbnnidung0"/>
              <w:tabs>
                <w:tab w:val="left" w:pos="4030"/>
                <w:tab w:val="left" w:leader="dot" w:pos="4198"/>
              </w:tabs>
              <w:ind w:left="360" w:firstLine="0"/>
              <w:jc w:val="center"/>
              <w:rPr>
                <w:rFonts w:ascii="Arial" w:hAnsi="Arial" w:cs="Arial"/>
                <w:b/>
                <w:i/>
                <w:sz w:val="20"/>
                <w:szCs w:val="20"/>
                <w:lang w:val="en-US"/>
              </w:rPr>
            </w:pPr>
            <w:r>
              <w:rPr>
                <w:rFonts w:ascii="Arial" w:hAnsi="Arial" w:cs="Arial"/>
                <w:b/>
                <w:sz w:val="20"/>
                <w:szCs w:val="20"/>
                <w:lang w:val="en-US"/>
              </w:rPr>
              <w:t>Phạm Văn Dũng</w:t>
            </w:r>
          </w:p>
        </w:tc>
      </w:tr>
      <w:bookmarkEnd w:id="0"/>
    </w:tbl>
    <w:p w:rsidR="00923657" w:rsidRPr="00923657" w:rsidRDefault="00923657" w:rsidP="00923657">
      <w:pPr>
        <w:pStyle w:val="Vnbnnidung0"/>
        <w:spacing w:after="440"/>
        <w:ind w:firstLine="0"/>
        <w:jc w:val="both"/>
        <w:rPr>
          <w:rFonts w:ascii="Arial" w:hAnsi="Arial" w:cs="Arial"/>
          <w:sz w:val="20"/>
          <w:szCs w:val="20"/>
        </w:rPr>
      </w:pPr>
    </w:p>
    <w:sectPr w:rsidR="00923657" w:rsidRPr="00923657">
      <w:headerReference w:type="even" r:id="rId9"/>
      <w:headerReference w:type="default" r:id="rId10"/>
      <w:pgSz w:w="11900" w:h="16840"/>
      <w:pgMar w:top="1388" w:right="1100" w:bottom="1124" w:left="166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834" w:rsidRDefault="00AC3834">
      <w:r>
        <w:separator/>
      </w:r>
    </w:p>
  </w:endnote>
  <w:endnote w:type="continuationSeparator" w:id="0">
    <w:p w:rsidR="00AC3834" w:rsidRDefault="00AC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834" w:rsidRDefault="00AC3834"/>
  </w:footnote>
  <w:footnote w:type="continuationSeparator" w:id="0">
    <w:p w:rsidR="00AC3834" w:rsidRDefault="00AC38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CE" w:rsidRDefault="00AC3834">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3919220</wp:posOffset>
              </wp:positionH>
              <wp:positionV relativeFrom="page">
                <wp:posOffset>360045</wp:posOffset>
              </wp:positionV>
              <wp:extent cx="7620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C72BCE" w:rsidRDefault="00AC3834">
                          <w:pPr>
                            <w:pStyle w:val="utranghocchntrang20"/>
                            <w:rPr>
                              <w:sz w:val="28"/>
                              <w:szCs w:val="28"/>
                            </w:rPr>
                          </w:pPr>
                          <w:r>
                            <w:rPr>
                              <w:sz w:val="28"/>
                              <w:szCs w:val="2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08.6pt;margin-top:28.35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" filled="f" stroked="f">
              <v:textbox style="mso-fit-shape-to-text:t" inset="0,0,0,0">
                <w:txbxContent>
                  <w:p w:rsidR="00C72BCE" w:rsidRDefault="00AC3834">
                    <w:pPr>
                      <w:pStyle w:val="utranghocchntrang20"/>
                      <w:rPr>
                        <w:sz w:val="28"/>
                        <w:szCs w:val="28"/>
                      </w:rPr>
                    </w:pPr>
                    <w:r>
                      <w:rPr>
                        <w:sz w:val="28"/>
                        <w:szCs w:val="2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CE" w:rsidRDefault="00C72BC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2801"/>
    <w:multiLevelType w:val="multilevel"/>
    <w:tmpl w:val="E97AAF8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313375"/>
    <w:multiLevelType w:val="multilevel"/>
    <w:tmpl w:val="87D45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5D38AF"/>
    <w:multiLevelType w:val="multilevel"/>
    <w:tmpl w:val="AC42FF8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CE"/>
    <w:rsid w:val="00326D1E"/>
    <w:rsid w:val="00923657"/>
    <w:rsid w:val="00AC3834"/>
    <w:rsid w:val="00C7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23AF"/>
  <w15:docId w15:val="{DD69D050-D521-4094-9041-18B74D83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200"/>
      <w:ind w:firstLine="400"/>
    </w:pPr>
    <w:rPr>
      <w:rFonts w:ascii="Times New Roman" w:eastAsia="Times New Roman" w:hAnsi="Times New Roman" w:cs="Times New Roman"/>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92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ngiang.gdt.gov.vn" TargetMode="External"/><Relationship Id="rId3" Type="http://schemas.openxmlformats.org/officeDocument/2006/relationships/settings" Target="settings.xml"/><Relationship Id="rId7" Type="http://schemas.openxmlformats.org/officeDocument/2006/relationships/hyperlink" Target="https://angiang.gdt.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tile</dc:title>
  <dc:subject>No subject</dc:subject>
  <dc:creator>MapScan group, IOIT, Hanoi, Vietnamese</dc:creator>
  <cp:keywords>No keyword</cp:keywords>
  <cp:lastModifiedBy>Admin</cp:lastModifiedBy>
  <cp:revision>3</cp:revision>
  <dcterms:created xsi:type="dcterms:W3CDTF">2025-02-28T09:36:00Z</dcterms:created>
  <dcterms:modified xsi:type="dcterms:W3CDTF">2025-02-28T09:41:00Z</dcterms:modified>
</cp:coreProperties>
</file>